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1702" w14:textId="77777777" w:rsidR="00F371A9" w:rsidRDefault="00924A07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  <w:r>
        <w:rPr>
          <w:rFonts w:ascii="Tahoma" w:hAnsi="Tahoma"/>
          <w:b/>
          <w:noProof/>
          <w:color w:val="366091"/>
          <w:sz w:val="20"/>
          <w:szCs w:val="20"/>
        </w:rPr>
        <w:drawing>
          <wp:inline distT="0" distB="0" distL="0" distR="0" wp14:anchorId="00B6BAD2" wp14:editId="7D29C362">
            <wp:extent cx="1739855" cy="18260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855" cy="182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F8BAF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02EE77E5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117A2BF7" w14:textId="77777777" w:rsidR="00F371A9" w:rsidRDefault="00F371A9">
      <w:pPr>
        <w:jc w:val="center"/>
        <w:rPr>
          <w:rFonts w:ascii="Tahoma" w:eastAsia="Tahoma" w:hAnsi="Tahoma" w:cs="Tahoma"/>
          <w:b/>
          <w:color w:val="366091"/>
          <w:sz w:val="20"/>
          <w:szCs w:val="20"/>
        </w:rPr>
      </w:pPr>
    </w:p>
    <w:p w14:paraId="16F556D0" w14:textId="77777777" w:rsidR="00F371A9" w:rsidRDefault="00924A07">
      <w:pPr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hAnsi="Tahoma"/>
          <w:b/>
          <w:color w:val="000000"/>
        </w:rPr>
        <w:t>SWYDD DDISGRIFIAD</w:t>
      </w:r>
    </w:p>
    <w:p w14:paraId="5D1016E5" w14:textId="77777777" w:rsidR="00F371A9" w:rsidRDefault="00F371A9">
      <w:pPr>
        <w:rPr>
          <w:rFonts w:ascii="Tahoma" w:eastAsia="Tahoma" w:hAnsi="Tahoma" w:cs="Tahoma"/>
          <w:sz w:val="20"/>
          <w:szCs w:val="20"/>
        </w:rPr>
      </w:pPr>
    </w:p>
    <w:p w14:paraId="4D4B24E9" w14:textId="77777777" w:rsidR="00F371A9" w:rsidRDefault="00924A07">
      <w:pPr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TEITL Y SWYDD: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  <w:t>INTERN CYFIEITHU CYMRAEG (Cyfnod penodol o flwyddyn)</w:t>
      </w:r>
    </w:p>
    <w:p w14:paraId="56D3D0B1" w14:textId="2838A373" w:rsidR="00F371A9" w:rsidRDefault="00924A07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RHEOLWR LLINELL:</w:t>
      </w:r>
      <w:r>
        <w:rPr>
          <w:rFonts w:ascii="Tahoma" w:hAnsi="Tahoma"/>
          <w:b/>
          <w:sz w:val="20"/>
          <w:szCs w:val="20"/>
        </w:rPr>
        <w:tab/>
      </w:r>
      <w:r w:rsidR="00CE18B7"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Rheolwr Cyfathrebu ac Ymgysylltu</w:t>
      </w:r>
    </w:p>
    <w:p w14:paraId="16F9EC2C" w14:textId="1FE32C06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CYFLOG:</w:t>
      </w:r>
      <w:r>
        <w:rPr>
          <w:rFonts w:ascii="Tahoma" w:hAnsi="Tahoma"/>
          <w:sz w:val="20"/>
          <w:szCs w:val="20"/>
        </w:rPr>
        <w:tab/>
      </w:r>
      <w:r w:rsidR="00CE18B7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Graddfa </w:t>
      </w:r>
      <w:proofErr w:type="spellStart"/>
      <w:r>
        <w:rPr>
          <w:rFonts w:ascii="Tahoma" w:hAnsi="Tahoma"/>
          <w:sz w:val="20"/>
          <w:szCs w:val="20"/>
        </w:rPr>
        <w:t>Interniaid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: ar hyn o bryd £18,600 </w:t>
      </w:r>
    </w:p>
    <w:p w14:paraId="0CE60D9C" w14:textId="0D186C7E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ORIAU:                  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36.5 awr yr wythnos, i'w gweithio'n hyblyg wedi trafodaeth â'r rheolwr llinell.</w:t>
      </w:r>
    </w:p>
    <w:p w14:paraId="70A4C0EF" w14:textId="77777777" w:rsidR="00F371A9" w:rsidRDefault="00924A07">
      <w:pPr>
        <w:spacing w:line="360" w:lineRule="auto"/>
        <w:ind w:left="2160" w:hanging="21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DYDDIAD A YSGRIFENNWYD:</w:t>
      </w:r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ab/>
        <w:t>14</w:t>
      </w:r>
      <w:r>
        <w:rPr>
          <w:rFonts w:ascii="Tahoma" w:hAnsi="Tahoma"/>
          <w:sz w:val="20"/>
          <w:szCs w:val="20"/>
          <w:vertAlign w:val="superscript"/>
        </w:rPr>
        <w:t>eg</w:t>
      </w:r>
      <w:r>
        <w:rPr>
          <w:rFonts w:ascii="Tahoma" w:hAnsi="Tahoma"/>
          <w:sz w:val="20"/>
          <w:szCs w:val="20"/>
        </w:rPr>
        <w:t xml:space="preserve"> Ebrill 2021</w:t>
      </w:r>
    </w:p>
    <w:p w14:paraId="7B8A718E" w14:textId="77777777" w:rsidR="00F371A9" w:rsidRDefault="00F371A9">
      <w:pPr>
        <w:ind w:left="2160" w:hanging="2160"/>
        <w:rPr>
          <w:rFonts w:ascii="Tahoma" w:eastAsia="Tahoma" w:hAnsi="Tahoma" w:cs="Tahoma"/>
          <w:sz w:val="20"/>
          <w:szCs w:val="20"/>
        </w:rPr>
      </w:pPr>
    </w:p>
    <w:p w14:paraId="0933419C" w14:textId="77777777" w:rsidR="00F371A9" w:rsidRDefault="00924A07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Diben y Rôl</w:t>
      </w:r>
    </w:p>
    <w:p w14:paraId="0E68BC3E" w14:textId="77777777" w:rsidR="00F371A9" w:rsidRDefault="00924A07">
      <w:pPr>
        <w:spacing w:before="240" w:after="2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Mae gan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bolisi dwyieithog cryf sy'n nodi bod yn rhaid i holl ohebiaeth yr Undeb fod yn ddwyieithog. Er mwyn ateb gofynion y polisi a delio â llwyth gwaith cynyddol, mae'r Undeb yn awyddus i recriwtio </w:t>
      </w:r>
      <w:proofErr w:type="spellStart"/>
      <w:r>
        <w:rPr>
          <w:rFonts w:ascii="Tahoma" w:hAnsi="Tahoma"/>
          <w:sz w:val="20"/>
          <w:szCs w:val="20"/>
        </w:rPr>
        <w:t>Intern</w:t>
      </w:r>
      <w:proofErr w:type="spellEnd"/>
      <w:r>
        <w:rPr>
          <w:rFonts w:ascii="Tahoma" w:hAnsi="Tahoma"/>
          <w:sz w:val="20"/>
          <w:szCs w:val="20"/>
        </w:rPr>
        <w:t xml:space="preserve"> fel Cyfieithydd Cymraeg.</w:t>
      </w:r>
    </w:p>
    <w:p w14:paraId="630A3D56" w14:textId="77777777" w:rsidR="00F371A9" w:rsidRDefault="00924A0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gyfieithu amrywiaeth o ddogfennau o'r Saesneg i'r Gymraeg ac i'r gwrthwyneb. </w:t>
      </w:r>
    </w:p>
    <w:p w14:paraId="1ADFE988" w14:textId="77777777" w:rsidR="00F371A9" w:rsidRDefault="00924A0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 ddarparu gwasanaeth cyfieithu ar y pryd o'r Gymraeg i'r Saesneg ac i'r gwrthwyneb mewn cyfarfodydd yn ôl yr angen.</w:t>
      </w:r>
    </w:p>
    <w:p w14:paraId="1B0EBF5B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1FCFBB56" w14:textId="77777777" w:rsidR="00F371A9" w:rsidRDefault="00924A07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DYLETSWYDDAU A CHYFRIFOLDEBAU</w:t>
      </w:r>
    </w:p>
    <w:p w14:paraId="7F528B56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CB84BD2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Cyfieithu ysgrifenedig</w:t>
      </w:r>
    </w:p>
    <w:p w14:paraId="65416837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947F746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Cyfieithu amrywiaeth o ddogfennau a thestun ffurfiol ac anffurfiol, gan gynnwys cyfryngau cymdeithasol, asedau marchnata a hyrwyddo, cynnwys gwefan, adroddiadau a dogfennau </w:t>
      </w:r>
      <w:proofErr w:type="spellStart"/>
      <w:r>
        <w:rPr>
          <w:rFonts w:ascii="Tahoma" w:hAnsi="Tahoma"/>
          <w:sz w:val="20"/>
          <w:szCs w:val="20"/>
        </w:rPr>
        <w:t>llywodraethiant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78E6047B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Gwirio'ch gwaith eich hun a gwaith aelodau eraill tîm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i sicrhau cysondeb o ran arddull, geirfa a.y.b. </w:t>
      </w:r>
    </w:p>
    <w:p w14:paraId="2B46CA89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Prawf-ddarllen dogfennau yn ôl yr angen er mwyn sicrhau arddull briodol, cywirdeb iaith, geirfa gywir a.y.b.</w:t>
      </w:r>
    </w:p>
    <w:p w14:paraId="55D4BA51" w14:textId="77777777" w:rsidR="00F371A9" w:rsidRDefault="00924A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Cynorthwyo datblygiad gwasanaeth cyfieithu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</w:t>
      </w:r>
    </w:p>
    <w:p w14:paraId="5CFC9961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619503EA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2CC41481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Cyfieithu ar y pryd</w:t>
      </w:r>
    </w:p>
    <w:p w14:paraId="7953734C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117B3408" w14:textId="77777777" w:rsidR="00F371A9" w:rsidRDefault="00924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rFonts w:ascii="Tahoma" w:hAnsi="Tahoma"/>
          <w:sz w:val="20"/>
          <w:szCs w:val="20"/>
        </w:rPr>
        <w:t>Darparu gwasanaeth cyfieithu ar yr un pryd mewn amrywiaeth o gyfarfodydd (gall cyfarfodydd myfyrwyr ddigwydd ar ôl 5pm).</w:t>
      </w:r>
    </w:p>
    <w:p w14:paraId="3E87CF7A" w14:textId="77777777" w:rsidR="00F371A9" w:rsidRDefault="00924A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Bod yn rhagweithiol wrth gyrchu a defnyddio'r dulliau a'r adnoddau mwyaf effeithiol i hwyluso mynediad myfyrwyr at gyfieithu ar y pryd.</w:t>
      </w:r>
    </w:p>
    <w:p w14:paraId="7B2F5A7A" w14:textId="77777777" w:rsidR="00F371A9" w:rsidRDefault="00F371A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62AEEE62" w14:textId="77777777" w:rsidR="00F371A9" w:rsidRDefault="00F371A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ahoma" w:eastAsia="Tahoma" w:hAnsi="Tahoma" w:cs="Tahoma"/>
          <w:sz w:val="20"/>
          <w:szCs w:val="20"/>
        </w:rPr>
      </w:pPr>
    </w:p>
    <w:p w14:paraId="6BFC0D60" w14:textId="77777777" w:rsidR="00F371A9" w:rsidRDefault="00924A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lastRenderedPageBreak/>
        <w:t xml:space="preserve">Dyletswyddau eraill: </w:t>
      </w:r>
    </w:p>
    <w:p w14:paraId="3F9A0BAB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3BE7943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Mynychu cyfarfodydd, cynadleddau a digwyddiadau hyfforddi a all helpu â chyflawni'r tasgau uchod ac a all hyrwyddo buddion </w:t>
      </w:r>
      <w:proofErr w:type="spellStart"/>
      <w:r>
        <w:rPr>
          <w:rFonts w:ascii="Tahoma" w:hAnsi="Tahoma"/>
          <w:color w:val="000000"/>
          <w:sz w:val="20"/>
          <w:szCs w:val="20"/>
        </w:rPr>
        <w:t>UMAber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yn lleol, yn rhanbarthol ac yn genedlaethol.</w:t>
      </w:r>
    </w:p>
    <w:p w14:paraId="0D3EC686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Hyrwyddo </w:t>
      </w:r>
      <w:proofErr w:type="spellStart"/>
      <w:r>
        <w:rPr>
          <w:rFonts w:ascii="Tahoma" w:hAnsi="Tahoma"/>
          <w:color w:val="000000"/>
          <w:sz w:val="20"/>
          <w:szCs w:val="20"/>
        </w:rPr>
        <w:t>UMAber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yn gadarnhaol, gan gynnal ei werthoedd a’i bolisïau.</w:t>
      </w:r>
    </w:p>
    <w:p w14:paraId="3C52CB96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Hyrwyddo </w:t>
      </w:r>
      <w:proofErr w:type="spellStart"/>
      <w:r>
        <w:rPr>
          <w:rFonts w:ascii="Tahoma" w:hAnsi="Tahoma"/>
          <w:color w:val="000000"/>
          <w:sz w:val="20"/>
          <w:szCs w:val="20"/>
        </w:rPr>
        <w:t>UMAber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a'n gwaith ar lefel leol, ranbarthol a chenedlaethol pan ddaw cyfleoedd i wneud hynny.</w:t>
      </w:r>
    </w:p>
    <w:p w14:paraId="4F590937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Gweithio o fewn telerau dogfennau llywodraethu'r Undeb, yn bennaf y Cyfansoddiad.</w:t>
      </w:r>
    </w:p>
    <w:p w14:paraId="25C36703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Cyfrannu at gyhoeddiadau a deunydd gwybodaeth Undeb y Myfyrwyr.</w:t>
      </w:r>
    </w:p>
    <w:p w14:paraId="5453A45F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Cynnal disgwyliadau rhesymol o ran iechyd a diogelwch, gwarchod data, a rheoliadau a deddfwriaethau perthnasol eraill fel sy'n briodol.</w:t>
      </w:r>
    </w:p>
    <w:p w14:paraId="27D5B8E3" w14:textId="77777777" w:rsidR="00F371A9" w:rsidRDefault="00924A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Helpu yn ystod digwyddiadau allweddol Undeb y Myfyrwyr gydol y flwyddyn, gan gynnwys yr Wythnos Groeso a'r Etholiadau</w:t>
      </w:r>
    </w:p>
    <w:p w14:paraId="4D22B747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Bod ag ymagwedd hyblyg at ddyletswyddau a gwaith ac, yn arbennig, mabwysiadu arddull o weithio mewn tîm gydag adrannau a gweithgareddau ar draws yr Undeb cyfan.  Gall hyn olygu ymgymryd â dyletswyddau sy'n cynorthwyo adrannau eraill â’u gweithgareddau a’u gwasanaethau</w:t>
      </w:r>
    </w:p>
    <w:p w14:paraId="47DDFE54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Mae arferion gorau o ran yr amgylchedd yn gyfrifoldeb holl staff Undeb y Myfyrwyr.</w:t>
      </w:r>
    </w:p>
    <w:p w14:paraId="2A72A6B2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Cyfrannu at brosiectau'r Undeb a chyfranogi mewn gweithgorau</w:t>
      </w:r>
    </w:p>
    <w:p w14:paraId="0B71CDC3" w14:textId="77777777" w:rsidR="00F371A9" w:rsidRDefault="00924A07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Cydymffurfio â disgwyliadau ymddygiad a safonau Undeb y Myfyrwyr yn y gwaith bob dydd</w:t>
      </w:r>
    </w:p>
    <w:p w14:paraId="27EF762D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28956900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06E9F7E0" w14:textId="77777777" w:rsidR="00F371A9" w:rsidRDefault="00924A07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Newidiadau yn y Swydd Ddisgrifiad</w:t>
      </w:r>
    </w:p>
    <w:p w14:paraId="58D6FBCE" w14:textId="77777777" w:rsidR="00F371A9" w:rsidRDefault="00924A07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Gall y swydd ddisgrifiad hwn newid unrhyw bryd ar ôl ymgynghori â </w:t>
      </w:r>
      <w:proofErr w:type="spellStart"/>
      <w:r>
        <w:rPr>
          <w:rFonts w:ascii="Tahoma" w:hAnsi="Tahoma"/>
          <w:sz w:val="20"/>
          <w:szCs w:val="20"/>
        </w:rPr>
        <w:t>deilydd</w:t>
      </w:r>
      <w:proofErr w:type="spellEnd"/>
      <w:r>
        <w:rPr>
          <w:rFonts w:ascii="Tahoma" w:hAnsi="Tahoma"/>
          <w:sz w:val="20"/>
          <w:szCs w:val="20"/>
        </w:rPr>
        <w:t xml:space="preserve"> y swydd. </w:t>
      </w:r>
    </w:p>
    <w:p w14:paraId="4A86E6DA" w14:textId="77777777" w:rsidR="00F371A9" w:rsidRDefault="00F371A9">
      <w:pPr>
        <w:jc w:val="both"/>
        <w:rPr>
          <w:rFonts w:ascii="Tahoma" w:eastAsia="Tahoma" w:hAnsi="Tahoma" w:cs="Tahoma"/>
          <w:sz w:val="20"/>
          <w:szCs w:val="20"/>
        </w:rPr>
      </w:pPr>
    </w:p>
    <w:p w14:paraId="34530AF1" w14:textId="77777777" w:rsidR="00F371A9" w:rsidRDefault="00924A07">
      <w:pPr>
        <w:jc w:val="both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Ni fwriedir i'r swydd ddisgrifiad hwn fod yn rhestr gynhwysfawr o dasgau a ddaw i ran </w:t>
      </w:r>
      <w:proofErr w:type="spellStart"/>
      <w:r>
        <w:rPr>
          <w:rFonts w:ascii="Tahoma" w:hAnsi="Tahoma"/>
          <w:i/>
          <w:sz w:val="20"/>
          <w:szCs w:val="20"/>
        </w:rPr>
        <w:t>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swydd. Serch hynny, mae'n gosod allan prif ddisgwyliadau'r Undeb o ran dyletswyddau a chyfrifoldebau </w:t>
      </w:r>
      <w:proofErr w:type="spellStart"/>
      <w:r>
        <w:rPr>
          <w:rFonts w:ascii="Tahoma" w:hAnsi="Tahoma"/>
          <w:i/>
          <w:sz w:val="20"/>
          <w:szCs w:val="20"/>
        </w:rPr>
        <w:t>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swydd, a gall fod disgwyl i </w:t>
      </w:r>
      <w:proofErr w:type="spellStart"/>
      <w:r>
        <w:rPr>
          <w:rFonts w:ascii="Tahoma" w:hAnsi="Tahoma"/>
          <w:i/>
          <w:sz w:val="20"/>
          <w:szCs w:val="20"/>
        </w:rPr>
        <w:t>ddeilydd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 ymgymryd â gwaith amgen/ychwanegol sy'n gymesur â'r raddfa gyflog.</w:t>
      </w:r>
    </w:p>
    <w:p w14:paraId="70D79FE8" w14:textId="77777777" w:rsidR="00F371A9" w:rsidRDefault="00F371A9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14:paraId="1B1E77C0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AE4CCF3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6977C1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C7F605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D9F73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92467F8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4B565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E092888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064CF16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6694520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F8DB71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AB4C3DF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3CAFA6F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CF6458C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ED6E1C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4A15C6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5D638B1A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EDC458D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3651BA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8E2789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338DED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7C9E1D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46E96871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3589C82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7978D87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2C14C0F2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333ABF7C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6FD0BB08" w14:textId="77777777" w:rsidR="00F371A9" w:rsidRDefault="00F371A9">
      <w:pPr>
        <w:spacing w:before="240" w:after="240"/>
        <w:rPr>
          <w:rFonts w:ascii="Tahoma" w:eastAsia="Tahoma" w:hAnsi="Tahoma" w:cs="Tahoma"/>
          <w:sz w:val="20"/>
          <w:szCs w:val="20"/>
          <w:highlight w:val="yellow"/>
        </w:rPr>
      </w:pPr>
    </w:p>
    <w:p w14:paraId="35A40A95" w14:textId="77777777" w:rsidR="00F371A9" w:rsidRDefault="00924A07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MANYLEB Y PERSON - INTERN CYFIEITHU CYMRAEG</w:t>
      </w:r>
    </w:p>
    <w:p w14:paraId="7136C686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645"/>
        <w:gridCol w:w="992"/>
        <w:gridCol w:w="1281"/>
      </w:tblGrid>
      <w:tr w:rsidR="00F371A9" w14:paraId="375517C9" w14:textId="77777777" w:rsidTr="00CE18B7">
        <w:tc>
          <w:tcPr>
            <w:tcW w:w="5580" w:type="dxa"/>
            <w:tcBorders>
              <w:bottom w:val="single" w:sz="4" w:space="0" w:color="000000"/>
            </w:tcBorders>
            <w:shd w:val="clear" w:color="auto" w:fill="A0A0A0"/>
          </w:tcPr>
          <w:p w14:paraId="5D6AFF0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MEINI PRAWF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0A0A0"/>
          </w:tcPr>
          <w:p w14:paraId="6CC7D05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Angenrheidiol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0A0A0"/>
          </w:tcPr>
          <w:p w14:paraId="489191E5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Cais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A0A0A0"/>
          </w:tcPr>
          <w:p w14:paraId="1E156F21" w14:textId="10D3006D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 Diwrnod</w:t>
            </w:r>
            <w:r w:rsidR="00CE18B7">
              <w:rPr>
                <w:rFonts w:ascii="Tahoma" w:hAnsi="Tahoma"/>
                <w:b/>
                <w:sz w:val="20"/>
                <w:szCs w:val="20"/>
              </w:rPr>
              <w:t xml:space="preserve"> Cyfweliad</w:t>
            </w:r>
          </w:p>
        </w:tc>
      </w:tr>
      <w:tr w:rsidR="00F371A9" w14:paraId="4C589E10" w14:textId="77777777" w:rsidTr="00CE18B7">
        <w:tc>
          <w:tcPr>
            <w:tcW w:w="5580" w:type="dxa"/>
            <w:shd w:val="clear" w:color="auto" w:fill="E0E0E0"/>
          </w:tcPr>
          <w:p w14:paraId="567E48D8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CYMWYSTERAU</w:t>
            </w:r>
          </w:p>
        </w:tc>
        <w:tc>
          <w:tcPr>
            <w:tcW w:w="1645" w:type="dxa"/>
            <w:shd w:val="clear" w:color="auto" w:fill="E0E0E0"/>
          </w:tcPr>
          <w:p w14:paraId="45BD639B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0DA302AF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41AAB117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F371A9" w14:paraId="2C6530F1" w14:textId="77777777" w:rsidTr="00CE18B7">
        <w:tc>
          <w:tcPr>
            <w:tcW w:w="5580" w:type="dxa"/>
          </w:tcPr>
          <w:p w14:paraId="7EB4BC6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Gradd yn y Gymraeg </w:t>
            </w:r>
          </w:p>
        </w:tc>
        <w:tc>
          <w:tcPr>
            <w:tcW w:w="1645" w:type="dxa"/>
          </w:tcPr>
          <w:p w14:paraId="76ADA20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7E2DA6E7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3868ED52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47B88CA7" w14:textId="77777777" w:rsidTr="00CE18B7">
        <w:tc>
          <w:tcPr>
            <w:tcW w:w="5580" w:type="dxa"/>
            <w:shd w:val="clear" w:color="auto" w:fill="E0E0E0"/>
          </w:tcPr>
          <w:p w14:paraId="4113525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PROFIAD</w:t>
            </w:r>
          </w:p>
        </w:tc>
        <w:tc>
          <w:tcPr>
            <w:tcW w:w="1645" w:type="dxa"/>
            <w:shd w:val="clear" w:color="auto" w:fill="E0E0E0"/>
          </w:tcPr>
          <w:p w14:paraId="1D4A7D58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4DB7531D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0CFC5794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5E03BF10" w14:textId="77777777" w:rsidTr="00CE18B7">
        <w:tc>
          <w:tcPr>
            <w:tcW w:w="5580" w:type="dxa"/>
          </w:tcPr>
          <w:p w14:paraId="0DF8ABE0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Sgiliau profedig wrth gyfieithu adroddiadau a dogfennau </w:t>
            </w:r>
          </w:p>
        </w:tc>
        <w:tc>
          <w:tcPr>
            <w:tcW w:w="1645" w:type="dxa"/>
          </w:tcPr>
          <w:p w14:paraId="17E6759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7F3AB537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A46ED2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5C6C46D" w14:textId="77777777" w:rsidTr="00CE18B7">
        <w:tc>
          <w:tcPr>
            <w:tcW w:w="5580" w:type="dxa"/>
            <w:tcBorders>
              <w:bottom w:val="single" w:sz="4" w:space="0" w:color="000000"/>
            </w:tcBorders>
          </w:tcPr>
          <w:p w14:paraId="50C5ABDE" w14:textId="77777777" w:rsidR="00F371A9" w:rsidRDefault="00924A07">
            <w:pPr>
              <w:shd w:val="clear" w:color="auto" w:fill="FFFFFF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Profiad o ddyletswyddau gweinyddol sylfaenol yn ogystal â gweithdrefnau swyddfa a chlerigol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14:paraId="4A5F426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Dymunol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3846D8C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4A6B69C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B3A26B1" w14:textId="77777777" w:rsidTr="00CE18B7">
        <w:tc>
          <w:tcPr>
            <w:tcW w:w="5580" w:type="dxa"/>
            <w:shd w:val="clear" w:color="auto" w:fill="E0E0E0"/>
          </w:tcPr>
          <w:p w14:paraId="056A531B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GWYBODAETH</w:t>
            </w:r>
          </w:p>
        </w:tc>
        <w:tc>
          <w:tcPr>
            <w:tcW w:w="1645" w:type="dxa"/>
            <w:shd w:val="clear" w:color="auto" w:fill="E0E0E0"/>
          </w:tcPr>
          <w:p w14:paraId="5B02ED8D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1A6023A6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75446095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45601A18" w14:textId="77777777" w:rsidTr="00CE18B7">
        <w:trPr>
          <w:trHeight w:val="638"/>
        </w:trPr>
        <w:tc>
          <w:tcPr>
            <w:tcW w:w="5580" w:type="dxa"/>
            <w:tcBorders>
              <w:bottom w:val="single" w:sz="4" w:space="0" w:color="000000"/>
            </w:tcBorders>
          </w:tcPr>
          <w:p w14:paraId="60EB4A29" w14:textId="43B36C02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Cymhwysedd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TechGwyb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gyda hyfedredd wrth ddefnyddio Microsoft Outlook a Word, a dealltwriaeth ymarferol o Excel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14:paraId="3D88FC62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B470E3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7FFA6E22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8A2CD6E" w14:textId="77777777" w:rsidTr="00CE18B7">
        <w:trPr>
          <w:trHeight w:val="315"/>
        </w:trPr>
        <w:tc>
          <w:tcPr>
            <w:tcW w:w="5580" w:type="dxa"/>
            <w:tcBorders>
              <w:bottom w:val="single" w:sz="4" w:space="0" w:color="000000"/>
            </w:tcBorders>
          </w:tcPr>
          <w:p w14:paraId="12D5DB6B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Gwybodaeth am systemau gweinyddol a dealltwriaeth ynghylch meddalwedd cof cyfieithu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14:paraId="314F6366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Dymunol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A51D7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526931A8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5DE96480" w14:textId="77777777" w:rsidTr="00CE18B7">
        <w:trPr>
          <w:trHeight w:val="273"/>
        </w:trPr>
        <w:tc>
          <w:tcPr>
            <w:tcW w:w="5580" w:type="dxa"/>
            <w:shd w:val="clear" w:color="auto" w:fill="E0E0E0"/>
          </w:tcPr>
          <w:p w14:paraId="08AFAECF" w14:textId="77777777" w:rsidR="00F371A9" w:rsidRDefault="00924A07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NODWEDDION a SGILIAU</w:t>
            </w:r>
          </w:p>
        </w:tc>
        <w:tc>
          <w:tcPr>
            <w:tcW w:w="1645" w:type="dxa"/>
            <w:shd w:val="clear" w:color="auto" w:fill="E0E0E0"/>
          </w:tcPr>
          <w:p w14:paraId="56D1F75E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500BA584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69D9A705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0B0F7C7" w14:textId="77777777" w:rsidTr="00CE18B7">
        <w:trPr>
          <w:trHeight w:val="304"/>
        </w:trPr>
        <w:tc>
          <w:tcPr>
            <w:tcW w:w="5580" w:type="dxa"/>
          </w:tcPr>
          <w:p w14:paraId="5DC15BB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Sgiliau cyfathrebu llafar ac ysgrifenedig ardderchog</w:t>
            </w:r>
          </w:p>
        </w:tc>
        <w:tc>
          <w:tcPr>
            <w:tcW w:w="1645" w:type="dxa"/>
          </w:tcPr>
          <w:p w14:paraId="5DE9484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5987F90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06A7FAD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3D7AAF6E" w14:textId="77777777" w:rsidTr="00CE18B7">
        <w:trPr>
          <w:trHeight w:val="304"/>
        </w:trPr>
        <w:tc>
          <w:tcPr>
            <w:tcW w:w="5580" w:type="dxa"/>
          </w:tcPr>
          <w:p w14:paraId="401E3E4C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 gallu i gyfathrebu drwy gyfrwng y Gymraeg</w:t>
            </w:r>
          </w:p>
        </w:tc>
        <w:tc>
          <w:tcPr>
            <w:tcW w:w="1645" w:type="dxa"/>
          </w:tcPr>
          <w:p w14:paraId="6348BB81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784E3228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6AE710C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C41AB74" w14:textId="77777777" w:rsidTr="00CE18B7">
        <w:trPr>
          <w:trHeight w:val="304"/>
        </w:trPr>
        <w:tc>
          <w:tcPr>
            <w:tcW w:w="5580" w:type="dxa"/>
          </w:tcPr>
          <w:p w14:paraId="26A8D76B" w14:textId="77777777" w:rsidR="00F371A9" w:rsidRDefault="00924A07">
            <w:pPr>
              <w:shd w:val="clear" w:color="auto" w:fill="FFFFFF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 gallu i hyrwyddo delwedd gadarnhaol 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UMAber</w:t>
            </w:r>
            <w:proofErr w:type="spellEnd"/>
          </w:p>
        </w:tc>
        <w:tc>
          <w:tcPr>
            <w:tcW w:w="1645" w:type="dxa"/>
          </w:tcPr>
          <w:p w14:paraId="365CF026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2675B833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D28409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92F6A7B" w14:textId="77777777" w:rsidTr="00CE18B7">
        <w:trPr>
          <w:trHeight w:val="304"/>
        </w:trPr>
        <w:tc>
          <w:tcPr>
            <w:tcW w:w="5580" w:type="dxa"/>
          </w:tcPr>
          <w:p w14:paraId="5E5B647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 gallu i weithio'n effeithiol mewn tîm ac ar eich liwt eich hun</w:t>
            </w:r>
          </w:p>
        </w:tc>
        <w:tc>
          <w:tcPr>
            <w:tcW w:w="1645" w:type="dxa"/>
          </w:tcPr>
          <w:p w14:paraId="732B306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5AEDD31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70C6E44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5E16C838" w14:textId="77777777" w:rsidTr="00CE18B7">
        <w:trPr>
          <w:trHeight w:val="304"/>
        </w:trPr>
        <w:tc>
          <w:tcPr>
            <w:tcW w:w="5580" w:type="dxa"/>
          </w:tcPr>
          <w:p w14:paraId="4B14B4A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Hunan-ysgogol gydag agwedd bositif; hefyd y gallu i gymryd y cam cyntaf i ddynodi tasgau a blaenoriaethu eich gwaith eich hun</w:t>
            </w:r>
          </w:p>
        </w:tc>
        <w:tc>
          <w:tcPr>
            <w:tcW w:w="1645" w:type="dxa"/>
          </w:tcPr>
          <w:p w14:paraId="7462EE1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1255B604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7D346515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32264D71" w14:textId="77777777" w:rsidTr="00CE18B7">
        <w:trPr>
          <w:trHeight w:val="304"/>
        </w:trPr>
        <w:tc>
          <w:tcPr>
            <w:tcW w:w="5580" w:type="dxa"/>
          </w:tcPr>
          <w:p w14:paraId="2B0BF44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Parodrwydd i ymgymryd â hyfforddiant ychwanegol ar gyfer cyfieithu ar yr un pryd.</w:t>
            </w:r>
          </w:p>
        </w:tc>
        <w:tc>
          <w:tcPr>
            <w:tcW w:w="1645" w:type="dxa"/>
          </w:tcPr>
          <w:p w14:paraId="04A6D270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0EE3BE3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20558A3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1ABE232C" w14:textId="77777777" w:rsidTr="00CE18B7">
        <w:trPr>
          <w:trHeight w:val="304"/>
        </w:trPr>
        <w:tc>
          <w:tcPr>
            <w:tcW w:w="5580" w:type="dxa"/>
          </w:tcPr>
          <w:p w14:paraId="0275B4E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Ymrwymiad i ddwyieithrwydd llafar ac ysgrifenedig. </w:t>
            </w:r>
          </w:p>
        </w:tc>
        <w:tc>
          <w:tcPr>
            <w:tcW w:w="1645" w:type="dxa"/>
          </w:tcPr>
          <w:p w14:paraId="78AACFDF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4BF58DCF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64E090E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29F76255" w14:textId="77777777" w:rsidTr="00CE18B7">
        <w:trPr>
          <w:trHeight w:val="304"/>
        </w:trPr>
        <w:tc>
          <w:tcPr>
            <w:tcW w:w="5580" w:type="dxa"/>
          </w:tcPr>
          <w:p w14:paraId="0B581499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 gallu i flaenoriaethu a delio â llwyth gwaith ysgrifenedig amrywiol ac i ddarparu cyfieithiadau’n brydlon er mwyn cyrraedd terfynau amser caeth.</w:t>
            </w:r>
          </w:p>
        </w:tc>
        <w:tc>
          <w:tcPr>
            <w:tcW w:w="1645" w:type="dxa"/>
          </w:tcPr>
          <w:p w14:paraId="4D1ADB3E" w14:textId="77777777" w:rsidR="00F371A9" w:rsidRDefault="00F371A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9B311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E3748F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1F8A9AA9" w14:textId="77777777" w:rsidTr="00CE18B7">
        <w:tc>
          <w:tcPr>
            <w:tcW w:w="5580" w:type="dxa"/>
          </w:tcPr>
          <w:p w14:paraId="128423AF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Sgiliau trefnu rhagorol gyda'r gallu i weithio'n effeithiol o fewn terfynau amser, cyrraedd targedau a sicrhau canlyniadau amlwg</w:t>
            </w:r>
          </w:p>
        </w:tc>
        <w:tc>
          <w:tcPr>
            <w:tcW w:w="1645" w:type="dxa"/>
          </w:tcPr>
          <w:p w14:paraId="7259AB04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7502AC5D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29B6BFE" w14:textId="77777777" w:rsidR="00F371A9" w:rsidRDefault="00F371A9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371A9" w14:paraId="2819951C" w14:textId="77777777" w:rsidTr="00CE18B7">
        <w:tc>
          <w:tcPr>
            <w:tcW w:w="5580" w:type="dxa"/>
          </w:tcPr>
          <w:p w14:paraId="235BFF65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Dealltwriaeth ac ymrwymiad i hyrwyddo cydraddoldeb ac amrywioldeb ac arferion cynhwysol</w:t>
            </w:r>
          </w:p>
        </w:tc>
        <w:tc>
          <w:tcPr>
            <w:tcW w:w="1645" w:type="dxa"/>
          </w:tcPr>
          <w:p w14:paraId="1B61807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06890BC1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2948E07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  <w:tr w:rsidR="00F371A9" w14:paraId="6300C836" w14:textId="77777777" w:rsidTr="00CE18B7">
        <w:tc>
          <w:tcPr>
            <w:tcW w:w="5580" w:type="dxa"/>
          </w:tcPr>
          <w:p w14:paraId="787A2298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Ymrwymiad i gynnal gwerthoedd Undeb y Myfyrwyr</w:t>
            </w:r>
          </w:p>
        </w:tc>
        <w:tc>
          <w:tcPr>
            <w:tcW w:w="1645" w:type="dxa"/>
          </w:tcPr>
          <w:p w14:paraId="008E0FBE" w14:textId="77777777" w:rsidR="00F371A9" w:rsidRDefault="00924A0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64FE9C80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16C6C859" w14:textId="77777777" w:rsidR="00F371A9" w:rsidRDefault="00924A07">
            <w:pPr>
              <w:tabs>
                <w:tab w:val="left" w:pos="666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</w:rPr>
              <w:t>√</w:t>
            </w:r>
          </w:p>
        </w:tc>
      </w:tr>
    </w:tbl>
    <w:p w14:paraId="300D9D34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1554A8B6" w14:textId="77777777" w:rsidR="00F371A9" w:rsidRDefault="00924A07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</w:t>
      </w:r>
    </w:p>
    <w:p w14:paraId="6BD91945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p w14:paraId="02AB4D07" w14:textId="77777777" w:rsidR="00F371A9" w:rsidRDefault="00F371A9">
      <w:pPr>
        <w:rPr>
          <w:rFonts w:ascii="Tahoma" w:eastAsia="Tahoma" w:hAnsi="Tahoma" w:cs="Tahoma"/>
          <w:b/>
          <w:sz w:val="20"/>
          <w:szCs w:val="20"/>
        </w:rPr>
      </w:pPr>
    </w:p>
    <w:sectPr w:rsidR="00F371A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DC2"/>
    <w:multiLevelType w:val="multilevel"/>
    <w:tmpl w:val="AE22E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8A5E78"/>
    <w:multiLevelType w:val="multilevel"/>
    <w:tmpl w:val="E0244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23C0"/>
    <w:multiLevelType w:val="multilevel"/>
    <w:tmpl w:val="83EA51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859D7"/>
    <w:multiLevelType w:val="multilevel"/>
    <w:tmpl w:val="86FCFC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A9"/>
    <w:rsid w:val="001E0F4D"/>
    <w:rsid w:val="003A11D2"/>
    <w:rsid w:val="00924A07"/>
    <w:rsid w:val="00CE18B7"/>
    <w:rsid w:val="00EF08DE"/>
    <w:rsid w:val="00F3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8478"/>
  <w15:docId w15:val="{FD1ECF5D-6FA1-4EC4-8C81-C667CE6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ind w:left="2160" w:hanging="2160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 [ewr1]</dc:creator>
  <cp:lastModifiedBy>Annmarie Evans [ape]</cp:lastModifiedBy>
  <cp:revision>2</cp:revision>
  <dcterms:created xsi:type="dcterms:W3CDTF">2021-05-06T10:17:00Z</dcterms:created>
  <dcterms:modified xsi:type="dcterms:W3CDTF">2021-05-06T10:17:00Z</dcterms:modified>
</cp:coreProperties>
</file>